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color w:val="ff9900"/>
        </w:rPr>
      </w:pPr>
      <w:bookmarkStart w:colFirst="0" w:colLast="0" w:name="_46jxjlqqlbzd" w:id="0"/>
      <w:bookmarkEnd w:id="0"/>
      <w:r w:rsidDel="00000000" w:rsidR="00000000" w:rsidRPr="00000000">
        <w:rPr>
          <w:color w:val="ff9900"/>
          <w:rtl w:val="0"/>
        </w:rPr>
        <w:t xml:space="preserve">Salles C405A et C405B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za6xd46mfe8w" w:id="1"/>
      <w:bookmarkEnd w:id="1"/>
      <w:r w:rsidDel="00000000" w:rsidR="00000000" w:rsidRPr="00000000">
        <w:rPr>
          <w:color w:val="ff9900"/>
          <w:rtl w:val="0"/>
        </w:rPr>
        <w:t xml:space="preserve">Utilisation actuelle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Les salles C405A et C405B regroupent 21 boxes séparés avec des PC reliés au WEB. La gestion des salles relève de l’UFR SPSE.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La salle C405A : 12 postes de travail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La salle C405B : 9 postes de travail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Actuellement la réservation de ces salles se fait depuis la plateforme SONA SYSTEM qui associe salles </w:t>
      </w:r>
      <w:r w:rsidDel="00000000" w:rsidR="00000000" w:rsidRPr="00000000">
        <w:rPr>
          <w:b w:val="1"/>
          <w:rtl w:val="0"/>
        </w:rPr>
        <w:t xml:space="preserve">ET </w:t>
      </w:r>
      <w:r w:rsidDel="00000000" w:rsidR="00000000" w:rsidRPr="00000000">
        <w:rPr>
          <w:rtl w:val="0"/>
        </w:rPr>
        <w:t xml:space="preserve">participants</w:t>
      </w:r>
      <w:r w:rsidDel="00000000" w:rsidR="00000000" w:rsidRPr="00000000">
        <w:rPr>
          <w:rtl w:val="0"/>
        </w:rPr>
        <w:t xml:space="preserve"> (pool L1). SONA SYSTEM génère le taux d’occupation des salles.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color w:val="ff9900"/>
        </w:rPr>
      </w:pPr>
      <w:bookmarkStart w:colFirst="0" w:colLast="0" w:name="_cyqvahwzsa64" w:id="2"/>
      <w:bookmarkEnd w:id="2"/>
      <w:r w:rsidDel="00000000" w:rsidR="00000000" w:rsidRPr="00000000">
        <w:rPr>
          <w:color w:val="ff9900"/>
          <w:rtl w:val="0"/>
        </w:rPr>
        <w:t xml:space="preserve">Responsables des espaces 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Pour en savoir plus sur l’utilisation des salles C405A et C405B, merci de contacter </w:t>
      </w:r>
      <w:hyperlink r:id="rId6">
        <w:r w:rsidDel="00000000" w:rsidR="00000000" w:rsidRPr="00000000">
          <w:rPr>
            <w:color w:val="1155cc"/>
            <w:sz w:val="23"/>
            <w:szCs w:val="23"/>
            <w:highlight w:val="white"/>
            <w:u w:val="single"/>
            <w:rtl w:val="0"/>
          </w:rPr>
          <w:t xml:space="preserve">Thierry </w:t>
        </w:r>
      </w:hyperlink>
      <w:hyperlink r:id="rId7">
        <w:r w:rsidDel="00000000" w:rsidR="00000000" w:rsidRPr="00000000">
          <w:rPr>
            <w:color w:val="1155cc"/>
            <w:sz w:val="23"/>
            <w:szCs w:val="23"/>
            <w:highlight w:val="white"/>
            <w:u w:val="single"/>
            <w:rtl w:val="0"/>
          </w:rPr>
          <w:t xml:space="preserve">Meyer</w:t>
        </w:r>
      </w:hyperlink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et </w:t>
      </w:r>
      <w:hyperlink r:id="rId8">
        <w:r w:rsidDel="00000000" w:rsidR="00000000" w:rsidRPr="00000000">
          <w:rPr>
            <w:color w:val="1155cc"/>
            <w:sz w:val="23"/>
            <w:szCs w:val="23"/>
            <w:highlight w:val="white"/>
            <w:u w:val="single"/>
            <w:rtl w:val="0"/>
          </w:rPr>
          <w:t xml:space="preserve">Anthony Lantian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jc w:val="both"/>
    </w:pPr>
    <w:rPr>
      <w:rFonts w:ascii="Proxima Nova" w:cs="Proxima Nova" w:eastAsia="Proxima Nova" w:hAnsi="Proxima Nova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jc w:val="both"/>
    </w:pPr>
    <w:rPr>
      <w:rFonts w:ascii="Proxima Nova" w:cs="Proxima Nova" w:eastAsia="Proxima Nova" w:hAnsi="Proxima Nova"/>
      <w:color w:val="ff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  <w:ind w:left="720" w:firstLine="0"/>
      <w:jc w:val="both"/>
    </w:pPr>
    <w:rPr>
      <w:rFonts w:ascii="Proxima Nova" w:cs="Proxima Nova" w:eastAsia="Proxima Nova" w:hAnsi="Proxima Nova"/>
      <w:color w:val="6aa84f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rFonts w:ascii="Proxima Nova" w:cs="Proxima Nova" w:eastAsia="Proxima Nova" w:hAnsi="Proxima Nova"/>
      <w:color w:val="ff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yer@parisnanterre.fr" TargetMode="External"/><Relationship Id="rId7" Type="http://schemas.openxmlformats.org/officeDocument/2006/relationships/hyperlink" Target="mailto:meyer@parisnanterre.fr" TargetMode="External"/><Relationship Id="rId8" Type="http://schemas.openxmlformats.org/officeDocument/2006/relationships/hyperlink" Target="mailto:anthony.lantian@parisnanterre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